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3C1D13">
            <w:rPr>
              <w:sz w:val="26"/>
              <w:szCs w:val="26"/>
            </w:rPr>
            <w:fldChar w:fldCharType="begin"/>
          </w:r>
          <w:r w:rsidR="00BB068D" w:rsidRPr="00F10892">
            <w:rPr>
              <w:sz w:val="26"/>
              <w:szCs w:val="26"/>
            </w:rPr>
            <w:instrText xml:space="preserve"> TOC \o "1-3" \h \z \u </w:instrText>
          </w:r>
          <w:r w:rsidRPr="003C1D13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10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19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26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27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31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33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34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35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37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3C1D13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Pr="00F10892">
              <w:rPr>
                <w:noProof/>
                <w:webHidden/>
                <w:sz w:val="26"/>
                <w:szCs w:val="26"/>
              </w:rPr>
            </w:r>
            <w:r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1857D1">
              <w:rPr>
                <w:noProof/>
                <w:webHidden/>
                <w:sz w:val="26"/>
                <w:szCs w:val="26"/>
              </w:rPr>
              <w:t>42</w:t>
            </w:r>
            <w:r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3C1D13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2"/>
              <w:footerReference w:type="first" r:id="rId13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Start w:id="4" w:name="_GoBack"/>
      <w:bookmarkEnd w:id="2"/>
      <w:bookmarkEnd w:id="3"/>
      <w:bookmarkEnd w:id="4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с ограниченными возможностями здоровья (далее – ОВЗ);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экстернов с ОВЗ;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5" w:name="_Toc26878802"/>
      <w:bookmarkStart w:id="6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5"/>
      <w:bookmarkEnd w:id="6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ОВЗ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ПМПК)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 xml:space="preserve">дети-инвалиды и инвалиды – оригинал или заверенную в установленном порядке копию </w:t>
      </w:r>
      <w:r w:rsidR="00C37DEA" w:rsidRPr="002A7F53">
        <w:rPr>
          <w:sz w:val="26"/>
          <w:szCs w:val="26"/>
        </w:rPr>
        <w:lastRenderedPageBreak/>
        <w:t>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r w:rsidR="00D10444" w:rsidRPr="002A6972">
        <w:rPr>
          <w:sz w:val="26"/>
          <w:szCs w:val="26"/>
        </w:rPr>
        <w:t xml:space="preserve">ПМПК в случаях, 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7" w:name="_Toc26878803"/>
      <w:bookmarkStart w:id="8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7"/>
      <w:bookmarkEnd w:id="8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4.1. Федеральная служба по надзору в сфере образования и науки(Рособрнадзор)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ОИВ,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Pr="00DD6DB7">
        <w:rPr>
          <w:sz w:val="26"/>
          <w:szCs w:val="26"/>
        </w:rPr>
        <w:t xml:space="preserve"> комплектами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«зачет»/ «незачет»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собеседованияна основании обращения ОИВ</w:t>
      </w:r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r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(далее – РЦОИ)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аудио-файлов с записями ответов участников итогового </w:t>
      </w:r>
      <w:r w:rsidRPr="00BC7200">
        <w:rPr>
          <w:sz w:val="26"/>
          <w:szCs w:val="26"/>
        </w:rPr>
        <w:lastRenderedPageBreak/>
        <w:t xml:space="preserve">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>, утвержденнымп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Минпросвещения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Рособрнадзора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региональных информационных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ГИА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4.3. ОИВ,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ОИВ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определение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</w:t>
      </w:r>
      <w:r w:rsidRPr="00973240">
        <w:rPr>
          <w:sz w:val="26"/>
          <w:szCs w:val="26"/>
        </w:rPr>
        <w:lastRenderedPageBreak/>
        <w:t>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ОИВ,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r w:rsidR="003C7318" w:rsidRPr="00BC7200">
        <w:rPr>
          <w:sz w:val="26"/>
          <w:szCs w:val="26"/>
        </w:rPr>
        <w:t xml:space="preserve">утвержденном </w:t>
      </w:r>
      <w:r w:rsidRPr="00BC7200">
        <w:rPr>
          <w:sz w:val="26"/>
          <w:szCs w:val="26"/>
        </w:rPr>
        <w:t>ОИВ,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Pr="00BC7200">
        <w:rPr>
          <w:sz w:val="26"/>
          <w:szCs w:val="26"/>
        </w:rPr>
        <w:t>Федеральным государственным бюджетным учреждением «Федеральный центр тестирования» (далее – ФГБУ «ФЦТ»).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9" w:name="_Toc26878804"/>
      <w:bookmarkStart w:id="10" w:name="_Toc26879485"/>
      <w:r w:rsidRPr="00BC7200">
        <w:rPr>
          <w:rFonts w:ascii="Times New Roman" w:hAnsi="Times New Roman" w:cs="Times New Roman"/>
          <w:color w:val="auto"/>
        </w:rPr>
        <w:lastRenderedPageBreak/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9"/>
      <w:bookmarkEnd w:id="10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="005C7769">
        <w:rPr>
          <w:sz w:val="26"/>
          <w:szCs w:val="26"/>
        </w:rPr>
        <w:t>может быть увеличена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1" w:name="_Ref369008938"/>
      <w:r w:rsidRPr="00BC7200">
        <w:rPr>
          <w:sz w:val="26"/>
          <w:szCs w:val="26"/>
        </w:rPr>
        <w:t>В случае получения неудовлетворительного результата («незачет»)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1"/>
      <w:r w:rsidR="000F17DE" w:rsidRPr="00BC7200">
        <w:rPr>
          <w:sz w:val="26"/>
          <w:szCs w:val="26"/>
        </w:rPr>
        <w:t>.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2" w:name="_Toc26878805"/>
      <w:bookmarkStart w:id="13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4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2"/>
      <w:bookmarkEnd w:id="13"/>
      <w:bookmarkEnd w:id="14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3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(далее – эксперты)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BD0022">
        <w:rPr>
          <w:sz w:val="26"/>
          <w:szCs w:val="26"/>
        </w:rPr>
        <w:t>В ПО загружается XML-файл, полученный от РЦОИ, с внесенными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РЦОИ передает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5" w:name="_Toc26878806"/>
      <w:bookmarkStart w:id="16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5"/>
      <w:bookmarkEnd w:id="16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РЦОИ в РИС</w:t>
      </w:r>
      <w:r w:rsidR="00CE1006">
        <w:rPr>
          <w:sz w:val="26"/>
          <w:szCs w:val="26"/>
        </w:rPr>
        <w:t xml:space="preserve"> посредством ПО «Импорт ГИА</w:t>
      </w:r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r w:rsidR="00CE1006" w:rsidRPr="00CC173B">
        <w:rPr>
          <w:sz w:val="26"/>
          <w:szCs w:val="26"/>
        </w:rPr>
        <w:t>ОИВ</w:t>
      </w:r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ФГБУ «ФЦТ» размещает комплекты КИМ итогового собеседования для проведения итогового собеседования в специальных учебно-воспитательных учреждениях </w:t>
      </w:r>
      <w:r w:rsidRPr="00551DEA">
        <w:rPr>
          <w:sz w:val="26"/>
          <w:szCs w:val="26"/>
        </w:rPr>
        <w:lastRenderedPageBreak/>
        <w:t>закрытого типа и в учреждениях, исполняющих наказание в виде лишения свободы, на технологическом порталеза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ФГБНУ «ФИПИ») (</w:t>
      </w:r>
      <w:hyperlink r:id="rId14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7" w:name="_Toc26878807"/>
      <w:bookmarkStart w:id="18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7"/>
      <w:bookmarkEnd w:id="18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В день проведения итогового собеседованияне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>от РЦОИ</w:t>
      </w:r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>) определяется ОИВ и 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>приглашает</w:t>
      </w:r>
      <w:r w:rsidR="009E61FE"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</w:t>
      </w:r>
      <w:r w:rsidR="00DB080F" w:rsidRPr="001745DE">
        <w:rPr>
          <w:sz w:val="26"/>
          <w:szCs w:val="26"/>
        </w:rPr>
        <w:lastRenderedPageBreak/>
        <w:t>сбоев, отсутствуют посторонние шумы и помехи, голоса участника итогового собеседования и экзаменатора-собеседника отчетливо слышны</w:t>
      </w:r>
      <w:r w:rsidR="00DF08A0" w:rsidRPr="001745DE">
        <w:rPr>
          <w:sz w:val="26"/>
          <w:szCs w:val="26"/>
        </w:rPr>
        <w:t>.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>, эксперт ставит отметку о досрочном завершении 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9" w:name="_Toc26878808"/>
      <w:bookmarkStart w:id="20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C37DEA" w:rsidRPr="00BC7200">
        <w:rPr>
          <w:rFonts w:ascii="Times New Roman" w:hAnsi="Times New Roman" w:cs="Times New Roman"/>
          <w:color w:val="auto"/>
        </w:rPr>
        <w:t xml:space="preserve">с ОВЗ,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9"/>
      <w:bookmarkEnd w:id="20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9.1.Участники итогового собеседования с ОВЗ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ПМПК</w:t>
      </w:r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9.2.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ОИВ,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985C28" w:rsidRPr="009750AC">
        <w:rPr>
          <w:sz w:val="26"/>
          <w:szCs w:val="26"/>
        </w:rPr>
        <w:t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ПМПК.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ОИВ, учредители </w:t>
      </w:r>
      <w:r w:rsidR="00985C28" w:rsidRPr="003866FA">
        <w:rPr>
          <w:sz w:val="26"/>
          <w:szCs w:val="26"/>
        </w:rPr>
        <w:lastRenderedPageBreak/>
        <w:t>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>), для участников итогового собеседования – детей-инвалидов 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5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экзаменатора-собеседника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минимальное количествобаллов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r w:rsidR="008A0D71">
        <w:rPr>
          <w:rFonts w:eastAsiaTheme="minorHAnsi"/>
          <w:sz w:val="26"/>
          <w:szCs w:val="26"/>
          <w:lang w:eastAsia="en-US"/>
        </w:rPr>
        <w:t>мые)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 xml:space="preserve">а также претендующих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1" w:name="_Toc26878809"/>
      <w:bookmarkStart w:id="22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1"/>
      <w:bookmarkEnd w:id="22"/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утвержденный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«зачет»/«незачет»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экзаменатора-собеседника отчетливо слышны.</w:t>
      </w:r>
      <w:r w:rsidRPr="00BC7200">
        <w:rPr>
          <w:sz w:val="26"/>
          <w:szCs w:val="26"/>
        </w:rPr>
        <w:t xml:space="preserve">Воспроизведение </w:t>
      </w:r>
      <w:r w:rsidRPr="00BC7200">
        <w:rPr>
          <w:sz w:val="26"/>
          <w:szCs w:val="26"/>
        </w:rPr>
        <w:lastRenderedPageBreak/>
        <w:t>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r w:rsidR="009E0873" w:rsidRPr="009E0873">
        <w:rPr>
          <w:rFonts w:eastAsiaTheme="minorHAnsi"/>
          <w:sz w:val="26"/>
          <w:szCs w:val="26"/>
          <w:lang w:eastAsia="en-US"/>
        </w:rPr>
        <w:t>мые)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>10.3.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3" w:name="_Toc26878810"/>
      <w:bookmarkStart w:id="24" w:name="_Toc26879491"/>
      <w:r w:rsidRPr="00BC7200">
        <w:rPr>
          <w:rFonts w:ascii="Times New Roman" w:hAnsi="Times New Roman" w:cs="Times New Roman"/>
          <w:color w:val="auto"/>
        </w:rPr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3"/>
      <w:bookmarkEnd w:id="24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РЦОИ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>, файлы 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5" w:name="_Toc26878811"/>
      <w:bookmarkStart w:id="26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5"/>
      <w:bookmarkEnd w:id="26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lastRenderedPageBreak/>
        <w:t>получившие по итоговому собеседованию неудовлетворительный результат («незачет»);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не завершившие итоговое собеседование по уважительным причинам (болезнь или иные обстоятельства), подтвержденным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7" w:name="_Toc26878812"/>
      <w:bookmarkStart w:id="28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другой образовательной организации или комиссией, сформированной в местах, определенных ОИВ.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9" w:name="_Toc26878813"/>
      <w:bookmarkStart w:id="30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9"/>
      <w:bookmarkEnd w:id="30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1" w:name="_Toc26878814"/>
      <w:bookmarkStart w:id="32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1"/>
      <w:bookmarkEnd w:id="32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>итогового собеседования с ОВЗ,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lastRenderedPageBreak/>
        <w:t>Организатору(</w:t>
      </w:r>
      <w:r w:rsidR="00E85657">
        <w:rPr>
          <w:sz w:val="26"/>
          <w:u w:val="single"/>
        </w:rPr>
        <w:t>-</w:t>
      </w:r>
      <w:r w:rsidRPr="00766866">
        <w:rPr>
          <w:sz w:val="26"/>
          <w:u w:val="single"/>
        </w:rPr>
        <w:t>ам)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учета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флеш-носители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ОИВ,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>Осуществить передачу в РЦОИ на флеш-носителях либо по защищенной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3" w:name="_Toc26878815"/>
      <w:bookmarkStart w:id="34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3"/>
      <w:bookmarkEnd w:id="34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проверить готовность рабочего места в Штабе для получения материалов итоговогособеседования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>сайта ФГБНУ «ФИПИ</w:t>
      </w:r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5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>от РЦОИ</w:t>
      </w:r>
      <w:hyperlink w:history="1"/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="00892534" w:rsidRPr="00BC7200">
        <w:rPr>
          <w:sz w:val="26"/>
          <w:szCs w:val="26"/>
        </w:rPr>
        <w:t>печать протоколов эксперта по оцениванию ответов участников итогового собеседования, ведомостей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425950">
        <w:rPr>
          <w:sz w:val="26"/>
          <w:szCs w:val="26"/>
        </w:rPr>
        <w:t xml:space="preserve">в соответствии с определенным ОИВ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BC7200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проверки экспертами работ после завершения итогового собеседования сохранить аудиозаписи на флеш-носители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внесенного ранее участника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ОО;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код МСУ;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r w:rsidRPr="000139B4">
        <w:rPr>
          <w:sz w:val="26"/>
          <w:szCs w:val="26"/>
        </w:rPr>
        <w:t>зачет</w:t>
      </w:r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r w:rsidRPr="000139B4">
        <w:rPr>
          <w:sz w:val="26"/>
          <w:szCs w:val="26"/>
        </w:rPr>
        <w:t>незачет</w:t>
      </w:r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>охранить специализированную форму в специальном XML формате и передать в РЦОИ.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5" w:name="_Toc26878816"/>
      <w:bookmarkStart w:id="36" w:name="_Toc26879497"/>
      <w:r w:rsidRPr="00966FB5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5"/>
      <w:bookmarkEnd w:id="36"/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BC7200">
        <w:rPr>
          <w:sz w:val="26"/>
          <w:szCs w:val="26"/>
        </w:rPr>
        <w:t>включая критерии оценивания итогового собеседования</w:t>
      </w:r>
      <w:r w:rsidR="00C30DC1">
        <w:rPr>
          <w:sz w:val="26"/>
          <w:szCs w:val="26"/>
        </w:rPr>
        <w:t>,</w:t>
      </w:r>
      <w:r w:rsidRPr="00BC7200">
        <w:rPr>
          <w:sz w:val="26"/>
          <w:szCs w:val="26"/>
        </w:rPr>
        <w:t>размещенными на официальном сайте ФГБНУ «ФИПИ»</w:t>
      </w:r>
      <w:r w:rsidR="00C30DC1">
        <w:rPr>
          <w:sz w:val="26"/>
          <w:szCs w:val="26"/>
        </w:rPr>
        <w:t xml:space="preserve"> либо полученными от ответственного организатора образовательной организации;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26572E">
        <w:rPr>
          <w:sz w:val="26"/>
          <w:szCs w:val="26"/>
        </w:rPr>
        <w:t>;</w:t>
      </w:r>
    </w:p>
    <w:p w:rsidR="00892534" w:rsidRPr="00BC7200" w:rsidRDefault="00E5769A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Инструкцию </w:t>
      </w:r>
      <w:r w:rsidR="000334A6">
        <w:rPr>
          <w:sz w:val="26"/>
          <w:szCs w:val="26"/>
        </w:rPr>
        <w:t xml:space="preserve">по выполнению заданий КИМ, </w:t>
      </w:r>
      <w:r w:rsidR="00892534" w:rsidRPr="00BC7200">
        <w:rPr>
          <w:sz w:val="26"/>
          <w:szCs w:val="26"/>
        </w:rPr>
        <w:t>тексты для чтения, листы с тремя темами беседы, карточки с планом беседы по каждой теме</w:t>
      </w:r>
      <w:r w:rsidR="003861BC">
        <w:rPr>
          <w:sz w:val="26"/>
          <w:szCs w:val="26"/>
        </w:rPr>
        <w:t xml:space="preserve">, листы бумаги для черновиков </w:t>
      </w:r>
      <w:r w:rsidR="003861BC" w:rsidRPr="003861BC">
        <w:rPr>
          <w:sz w:val="26"/>
          <w:szCs w:val="26"/>
        </w:rPr>
        <w:t>со штампом образовательной организации (для участников итогового собеседования с ОВЗ, участников итогового собеседования</w:t>
      </w:r>
      <w:r w:rsidR="00DD061E">
        <w:rPr>
          <w:sz w:val="26"/>
          <w:szCs w:val="26"/>
        </w:rPr>
        <w:t xml:space="preserve"> – детей-инвалидов  и инвалидов</w:t>
      </w:r>
      <w:r w:rsidR="003861BC" w:rsidRPr="003861BC">
        <w:rPr>
          <w:sz w:val="26"/>
          <w:szCs w:val="26"/>
        </w:rPr>
        <w:t>, которые проходят итоговое собеседование в письменной форме)</w:t>
      </w:r>
      <w:r w:rsidR="00892534" w:rsidRPr="00BC7200">
        <w:rPr>
          <w:sz w:val="26"/>
          <w:szCs w:val="26"/>
        </w:rPr>
        <w:t xml:space="preserve">. </w:t>
      </w:r>
    </w:p>
    <w:p w:rsidR="00892534" w:rsidRPr="00BC7200" w:rsidRDefault="00892534" w:rsidP="00BE70AE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>
        <w:rPr>
          <w:sz w:val="26"/>
          <w:szCs w:val="26"/>
        </w:rPr>
        <w:t>едения итогового собеседования.</w:t>
      </w:r>
    </w:p>
    <w:p w:rsidR="00BE70AE" w:rsidRDefault="000139B4" w:rsidP="00A3477F">
      <w:pPr>
        <w:ind w:firstLine="708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>
        <w:rPr>
          <w:sz w:val="26"/>
          <w:szCs w:val="26"/>
        </w:rPr>
        <w:t>, а также отметку о досрочном завершении итогового собеседования по объективным причинам</w:t>
      </w:r>
      <w:r w:rsidRPr="000139B4">
        <w:rPr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>
        <w:rPr>
          <w:sz w:val="26"/>
          <w:szCs w:val="26"/>
        </w:rPr>
        <w:t xml:space="preserve"> (приложение 8)</w:t>
      </w:r>
      <w:r w:rsidR="001646A2">
        <w:rPr>
          <w:sz w:val="26"/>
          <w:szCs w:val="26"/>
        </w:rPr>
        <w:t xml:space="preserve">.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Экзаменатор-собеседник создает доброжелательную рабочую атмосферу.</w:t>
      </w:r>
    </w:p>
    <w:p w:rsidR="00892534" w:rsidRPr="00BC7200" w:rsidRDefault="000139B4" w:rsidP="00A3477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Экзаменатор-собеседник</w:t>
      </w:r>
      <w:r w:rsidR="00892534" w:rsidRPr="00BC7200">
        <w:rPr>
          <w:b/>
          <w:sz w:val="26"/>
          <w:szCs w:val="26"/>
        </w:rPr>
        <w:t>при проведении итогового собеседования</w:t>
      </w:r>
      <w:r>
        <w:rPr>
          <w:b/>
          <w:sz w:val="26"/>
          <w:szCs w:val="26"/>
        </w:rPr>
        <w:t xml:space="preserve"> организует</w:t>
      </w:r>
      <w:r w:rsidR="00892534" w:rsidRPr="00BC7200">
        <w:rPr>
          <w:b/>
          <w:sz w:val="26"/>
          <w:szCs w:val="26"/>
        </w:rPr>
        <w:t xml:space="preserve"> деятельность участника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выдает КИМ итогового собеседования;</w:t>
      </w:r>
    </w:p>
    <w:p w:rsidR="001646A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фиксирует время </w:t>
      </w:r>
      <w:r w:rsidR="001646A2">
        <w:rPr>
          <w:sz w:val="26"/>
          <w:szCs w:val="26"/>
        </w:rPr>
        <w:t xml:space="preserve">начала ответа и время окончания ответа </w:t>
      </w:r>
      <w:r w:rsidRPr="00BC7200">
        <w:rPr>
          <w:sz w:val="26"/>
          <w:szCs w:val="26"/>
        </w:rPr>
        <w:t>каждого задания КИМ итогового собеседования</w:t>
      </w:r>
      <w:r w:rsidR="001646A2">
        <w:rPr>
          <w:sz w:val="26"/>
          <w:szCs w:val="26"/>
        </w:rPr>
        <w:t>;</w:t>
      </w:r>
    </w:p>
    <w:p w:rsidR="00E85657" w:rsidRPr="00BC7200" w:rsidRDefault="00E85657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чем приступить к ответу (в продолжительность проведения итогового собеседования не включается);</w:t>
      </w:r>
    </w:p>
    <w:p w:rsidR="00E85657" w:rsidRDefault="00E85657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тем, чтобы участник итогового собеседования произносил номер задания перед ответом на каждое из заданий</w:t>
      </w:r>
      <w:r>
        <w:rPr>
          <w:sz w:val="26"/>
          <w:szCs w:val="26"/>
        </w:rPr>
        <w:t>;</w:t>
      </w:r>
    </w:p>
    <w:p w:rsidR="00892534" w:rsidRDefault="00892534" w:rsidP="00E8565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общее время, отведенное на проведение итогового собеседования для каждого участника (</w:t>
      </w:r>
      <w:r w:rsidR="001646A2">
        <w:rPr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BC7200">
        <w:rPr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>
        <w:rPr>
          <w:sz w:val="26"/>
          <w:szCs w:val="26"/>
        </w:rPr>
        <w:t>ников итогового собеседования)</w:t>
      </w:r>
      <w:r w:rsidRPr="00BC7200">
        <w:rPr>
          <w:sz w:val="26"/>
          <w:szCs w:val="26"/>
        </w:rPr>
        <w:t>.</w:t>
      </w:r>
    </w:p>
    <w:p w:rsidR="00892534" w:rsidRPr="00BC7200" w:rsidRDefault="008C1467" w:rsidP="00BE70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ОИВ принято решение о ведении </w:t>
      </w:r>
      <w:r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</w:t>
      </w:r>
      <w:r w:rsidRPr="00BC7200">
        <w:rPr>
          <w:sz w:val="26"/>
          <w:szCs w:val="26"/>
        </w:rPr>
        <w:lastRenderedPageBreak/>
        <w:t xml:space="preserve">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>
        <w:rPr>
          <w:sz w:val="26"/>
          <w:szCs w:val="26"/>
        </w:rPr>
        <w:t>к</w:t>
      </w:r>
      <w:r w:rsidRPr="00BC7200">
        <w:rPr>
          <w:sz w:val="26"/>
          <w:szCs w:val="26"/>
        </w:rPr>
        <w:t>омиссию по проведению неско</w:t>
      </w:r>
      <w:r w:rsidR="00BE70AE">
        <w:rPr>
          <w:sz w:val="26"/>
          <w:szCs w:val="26"/>
        </w:rPr>
        <w:t>лько технических специалистов).</w:t>
      </w:r>
    </w:p>
    <w:p w:rsidR="00892534" w:rsidRPr="00BC7200" w:rsidRDefault="00892534" w:rsidP="00BE70AE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Выполняет роль собеседника: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задает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не допускает использование участником итогового собеседования черновиков</w:t>
      </w:r>
      <w:r w:rsidR="002F7C86">
        <w:rPr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</w:t>
      </w:r>
      <w:r w:rsidR="002F7C86" w:rsidRPr="003861BC">
        <w:rPr>
          <w:sz w:val="26"/>
          <w:szCs w:val="26"/>
        </w:rPr>
        <w:t>которые проходят итоговое собеседование в письменной форме</w:t>
      </w:r>
      <w:r w:rsidR="002F7C86">
        <w:rPr>
          <w:sz w:val="26"/>
          <w:szCs w:val="26"/>
        </w:rPr>
        <w:t>).</w:t>
      </w:r>
    </w:p>
    <w:p w:rsidR="008A5306" w:rsidRDefault="00FA4BF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задани</w:t>
      </w:r>
      <w:r w:rsidR="000F0730">
        <w:rPr>
          <w:sz w:val="26"/>
          <w:szCs w:val="26"/>
        </w:rPr>
        <w:t>й</w:t>
      </w:r>
      <w:r>
        <w:rPr>
          <w:sz w:val="26"/>
          <w:szCs w:val="26"/>
        </w:rPr>
        <w:t xml:space="preserve"> КИМ итогового собеседования </w:t>
      </w:r>
      <w:r w:rsidR="000F0730">
        <w:rPr>
          <w:sz w:val="26"/>
          <w:szCs w:val="26"/>
        </w:rPr>
        <w:t>(з</w:t>
      </w:r>
      <w:r w:rsidR="000F0730" w:rsidRPr="000F0730">
        <w:rPr>
          <w:sz w:val="26"/>
          <w:szCs w:val="26"/>
        </w:rPr>
        <w:t>адани</w:t>
      </w:r>
      <w:r w:rsidR="000F0730">
        <w:rPr>
          <w:sz w:val="26"/>
          <w:szCs w:val="26"/>
        </w:rPr>
        <w:t xml:space="preserve">е № </w:t>
      </w:r>
      <w:r w:rsidR="008A5306">
        <w:rPr>
          <w:sz w:val="26"/>
          <w:szCs w:val="26"/>
        </w:rPr>
        <w:t>2</w:t>
      </w:r>
      <w:r w:rsidR="000F0730">
        <w:rPr>
          <w:sz w:val="26"/>
          <w:szCs w:val="26"/>
        </w:rPr>
        <w:t>«</w:t>
      </w:r>
      <w:r w:rsidR="008A5306" w:rsidRPr="008A5306">
        <w:rPr>
          <w:sz w:val="26"/>
          <w:szCs w:val="26"/>
        </w:rPr>
        <w:t>Пересказ текста</w:t>
      </w:r>
      <w:r w:rsidR="000F0730">
        <w:rPr>
          <w:sz w:val="26"/>
          <w:szCs w:val="26"/>
        </w:rPr>
        <w:t xml:space="preserve">») </w:t>
      </w:r>
      <w:r>
        <w:rPr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8A5306">
        <w:rPr>
          <w:sz w:val="26"/>
          <w:szCs w:val="26"/>
        </w:rPr>
        <w:t xml:space="preserve">КИМ итогового собеседования </w:t>
      </w:r>
      <w:r>
        <w:rPr>
          <w:sz w:val="26"/>
          <w:szCs w:val="26"/>
        </w:rPr>
        <w:t>делать письменные заметки не разрешается</w:t>
      </w:r>
      <w:r w:rsidR="008A5306">
        <w:rPr>
          <w:sz w:val="26"/>
          <w:szCs w:val="26"/>
        </w:rPr>
        <w:t>.</w:t>
      </w:r>
    </w:p>
    <w:p w:rsidR="00892534" w:rsidRDefault="008A5306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FA4BF2" w:rsidRPr="00FA4BF2">
        <w:rPr>
          <w:sz w:val="26"/>
          <w:szCs w:val="26"/>
        </w:rPr>
        <w:t>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с ОВЗ, участник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 xml:space="preserve"> итогового собеседования – дет</w:t>
      </w:r>
      <w:r>
        <w:rPr>
          <w:sz w:val="26"/>
          <w:szCs w:val="26"/>
        </w:rPr>
        <w:t>и</w:t>
      </w:r>
      <w:r w:rsidR="00FA4BF2" w:rsidRPr="00FA4BF2">
        <w:rPr>
          <w:sz w:val="26"/>
          <w:szCs w:val="26"/>
        </w:rPr>
        <w:t>-инвалид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 xml:space="preserve"> и инвалид</w:t>
      </w:r>
      <w:r>
        <w:rPr>
          <w:sz w:val="26"/>
          <w:szCs w:val="26"/>
        </w:rPr>
        <w:t>ы</w:t>
      </w:r>
      <w:r w:rsidR="00FA4BF2" w:rsidRPr="00FA4BF2">
        <w:rPr>
          <w:sz w:val="26"/>
          <w:szCs w:val="26"/>
        </w:rPr>
        <w:t>, которые проходят итоговое собеседование в письменной форме</w:t>
      </w:r>
      <w:r>
        <w:rPr>
          <w:sz w:val="26"/>
          <w:szCs w:val="26"/>
        </w:rPr>
        <w:t xml:space="preserve">, вправе пользоваться </w:t>
      </w:r>
      <w:r w:rsidR="00FA4BF2">
        <w:rPr>
          <w:sz w:val="26"/>
          <w:szCs w:val="26"/>
        </w:rPr>
        <w:t>лист</w:t>
      </w:r>
      <w:r>
        <w:rPr>
          <w:sz w:val="26"/>
          <w:szCs w:val="26"/>
        </w:rPr>
        <w:t>ами</w:t>
      </w:r>
      <w:r w:rsidR="00FA4BF2">
        <w:rPr>
          <w:sz w:val="26"/>
          <w:szCs w:val="26"/>
        </w:rPr>
        <w:t xml:space="preserve"> бумаги для черновиков.</w:t>
      </w:r>
    </w:p>
    <w:p w:rsidR="00353A78" w:rsidRPr="00BC7200" w:rsidRDefault="00353A78" w:rsidP="008A5306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принимает от эксперта </w:t>
      </w:r>
      <w:r w:rsidR="00353A78">
        <w:rPr>
          <w:sz w:val="26"/>
          <w:szCs w:val="26"/>
        </w:rPr>
        <w:t xml:space="preserve">запечатанные </w:t>
      </w:r>
      <w:r w:rsidRPr="00BC7200">
        <w:rPr>
          <w:sz w:val="26"/>
          <w:szCs w:val="26"/>
        </w:rPr>
        <w:t xml:space="preserve">протоколы эксперта </w:t>
      </w:r>
      <w:r w:rsidR="00D1085F">
        <w:rPr>
          <w:sz w:val="26"/>
          <w:szCs w:val="26"/>
        </w:rPr>
        <w:t>по</w:t>
      </w:r>
      <w:r w:rsidRPr="00BC7200">
        <w:rPr>
          <w:sz w:val="26"/>
          <w:szCs w:val="26"/>
        </w:rPr>
        <w:t>оценивани</w:t>
      </w:r>
      <w:r w:rsidR="00D1085F">
        <w:rPr>
          <w:sz w:val="26"/>
          <w:szCs w:val="26"/>
        </w:rPr>
        <w:t>ю</w:t>
      </w:r>
      <w:r w:rsidRPr="00BC7200">
        <w:rPr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(схема первая);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передает ответственному организатору образовательной организации в Штабе</w:t>
      </w:r>
      <w:r w:rsidR="00201CF3">
        <w:rPr>
          <w:sz w:val="26"/>
          <w:szCs w:val="26"/>
        </w:rPr>
        <w:t xml:space="preserve"> следующие материалы</w:t>
      </w:r>
      <w:r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заполненную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4E6802">
        <w:rPr>
          <w:sz w:val="26"/>
          <w:szCs w:val="26"/>
        </w:rPr>
        <w:t>;</w:t>
      </w:r>
    </w:p>
    <w:p w:rsidR="00BE70AE" w:rsidRDefault="004E680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917262">
        <w:rPr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>
        <w:rPr>
          <w:sz w:val="26"/>
          <w:szCs w:val="26"/>
        </w:rPr>
        <w:t xml:space="preserve"> (при наличии)</w:t>
      </w:r>
      <w:r w:rsidR="00BE70AE">
        <w:rPr>
          <w:sz w:val="26"/>
          <w:szCs w:val="26"/>
        </w:rPr>
        <w:t>.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Ниже представлен временной регламент выполнения заданий итогового собеседования каждым участником</w:t>
      </w:r>
      <w:r w:rsidR="00A867DF" w:rsidRPr="00A867DF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>.</w:t>
      </w:r>
    </w:p>
    <w:p w:rsidR="00E5769A" w:rsidRDefault="00E5769A" w:rsidP="00A3477F">
      <w:pPr>
        <w:ind w:firstLine="708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CF31E9" w:rsidRPr="00D00650" w:rsidTr="00CF31E9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701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7" w:name="OLE_LINK1"/>
            <w:bookmarkStart w:id="38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трех минут 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701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CF31E9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7"/>
      <w:bookmarkEnd w:id="38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9" w:name="_Toc26878817"/>
      <w:bookmarkStart w:id="40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9"/>
      <w:bookmarkEnd w:id="40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>для использования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 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передает экзаменатору-собеседнику</w:t>
      </w:r>
      <w:r w:rsidR="00B91CB8">
        <w:rPr>
          <w:sz w:val="26"/>
          <w:szCs w:val="26"/>
        </w:rPr>
        <w:t xml:space="preserve">, </w:t>
      </w:r>
      <w:r w:rsidR="004E6802">
        <w:rPr>
          <w:sz w:val="26"/>
          <w:szCs w:val="26"/>
        </w:rPr>
        <w:t xml:space="preserve">передает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892534" w:rsidRPr="00BC7200" w:rsidRDefault="00892534" w:rsidP="00917262">
      <w:pPr>
        <w:ind w:firstLine="708"/>
        <w:jc w:val="both"/>
      </w:pPr>
      <w:r w:rsidRPr="00BC7200">
        <w:rPr>
          <w:b/>
          <w:sz w:val="26"/>
          <w:szCs w:val="26"/>
        </w:rPr>
        <w:lastRenderedPageBreak/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</w:p>
    <w:p w:rsidR="00551DEA" w:rsidRDefault="00551DEA">
      <w:pPr>
        <w:spacing w:after="200" w:line="276" w:lineRule="auto"/>
        <w:rPr>
          <w:rFonts w:eastAsiaTheme="majorEastAsia"/>
          <w:b/>
          <w:bCs/>
          <w:sz w:val="28"/>
          <w:szCs w:val="26"/>
        </w:rPr>
      </w:pPr>
      <w:r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1" w:name="_Toc26878818"/>
      <w:bookmarkStart w:id="42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5. Инструкция для организатора проведения итогового собеседования</w:t>
      </w:r>
      <w:bookmarkEnd w:id="41"/>
      <w:bookmarkEnd w:id="42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3" w:name="_Toc26878819"/>
      <w:bookmarkStart w:id="44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3"/>
      <w:bookmarkEnd w:id="44"/>
    </w:p>
    <w:p w:rsidR="00CF31E9" w:rsidRPr="00FA1CEA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 xml:space="preserve">Задание 1.Чтение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287"/>
        <w:gridCol w:w="1076"/>
      </w:tblGrid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20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Сохранение при пересказе микротем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Все основные микротемы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5C3C22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>Упущена или добавлена одна микротема</w:t>
            </w:r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микротем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фактологической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аодна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</w:t>
      </w:r>
      <w:r w:rsidR="002A368A" w:rsidRPr="00D56990">
        <w:rPr>
          <w:b/>
          <w:sz w:val="24"/>
          <w:szCs w:val="26"/>
        </w:rPr>
        <w:br/>
        <w:t>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6946"/>
        <w:gridCol w:w="1134"/>
      </w:tblGrid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D56990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D56990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D56990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D56990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D56990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946"/>
        <w:gridCol w:w="1134"/>
      </w:tblGrid>
      <w:tr w:rsidR="00CF31E9" w:rsidRPr="00FA1CEA" w:rsidTr="0064056B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64056B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64056B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64056B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 xml:space="preserve">Участник итогового собеседования получает зачёт в случае, если за выполнение всей работы оннабрал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5" w:name="_Toc26878820"/>
      <w:bookmarkStart w:id="46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5"/>
      <w:bookmarkEnd w:id="46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№ п.п.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№ п.п.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3C1D1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3C1D13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205D1A" w:rsidRPr="00BC7200" w:rsidRDefault="003C1D1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31" style="position:absolute;left:0;text-align:left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3C1D13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30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29" style="position:absolute;left:0;text-align:left;margin-left:-.15pt;margin-top:1.05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28" style="position:absolute;left:0;text-align:left;z-index:251665408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205D1A" w:rsidRPr="00BC7200" w:rsidRDefault="003C1D13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27" style="position:absolute;left:0;text-align:left;z-index:251666432;visibility:visible;mso-wrap-distance-top:-1e-4mm;mso-wrap-distance-bottom:-1e-4mm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форма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баллов, необходимое для получения зачета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пересказ текста (посредством сурдоперевода)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сурдоперевода)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диалог (посредством сурдоперевода)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сурдопереводом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(в т.ч.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>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Слепые, поздноослепшие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ИЧ(1), П1(2), П2(1), П3(1), П4(1), Г(1), О(1), Р(1), Иск(1), </w:t>
            </w:r>
            <w:r>
              <w:lastRenderedPageBreak/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диалог в письменной форме, допускается использование участником ИС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 xml:space="preserve">), П2(1), П3(1), П4(1), М1(1), М2(1), М3(1), Д1(1),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r>
              <w:t>ТЧ(1), П1(2), П2(1), П3(1), П4(1), М1(1), М2(1), М3(1)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E1" w:rsidRDefault="00B13BE1" w:rsidP="00C37DEA">
      <w:r>
        <w:separator/>
      </w:r>
    </w:p>
  </w:endnote>
  <w:endnote w:type="continuationSeparator" w:id="1">
    <w:p w:rsidR="00B13BE1" w:rsidRDefault="00B13BE1" w:rsidP="00C37DEA">
      <w:r>
        <w:continuationSeparator/>
      </w:r>
    </w:p>
  </w:endnote>
  <w:endnote w:type="continuationNotice" w:id="2">
    <w:p w:rsidR="00B13BE1" w:rsidRDefault="00B13BE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85133"/>
      <w:docPartObj>
        <w:docPartGallery w:val="Page Numbers (Bottom of Page)"/>
        <w:docPartUnique/>
      </w:docPartObj>
    </w:sdtPr>
    <w:sdtContent>
      <w:p w:rsidR="00F10892" w:rsidRDefault="003C1D13">
        <w:pPr>
          <w:pStyle w:val="a3"/>
          <w:jc w:val="right"/>
        </w:pPr>
        <w:r>
          <w:fldChar w:fldCharType="begin"/>
        </w:r>
        <w:r w:rsidR="00F10892">
          <w:instrText>PAGE   \* MERGEFORMAT</w:instrText>
        </w:r>
        <w:r>
          <w:fldChar w:fldCharType="separate"/>
        </w:r>
        <w:r w:rsidR="00DB1C81">
          <w:rPr>
            <w:noProof/>
          </w:rPr>
          <w:t>41</w:t>
        </w:r>
        <w:r>
          <w:fldChar w:fldCharType="end"/>
        </w:r>
      </w:p>
    </w:sdtContent>
  </w:sdt>
  <w:p w:rsidR="00551DEA" w:rsidRDefault="00551DE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92" w:rsidRDefault="00F10892">
    <w:pPr>
      <w:pStyle w:val="a3"/>
      <w:jc w:val="right"/>
    </w:pPr>
  </w:p>
  <w:p w:rsidR="00551DEA" w:rsidRDefault="00551D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E1" w:rsidRDefault="00B13BE1" w:rsidP="00C37DEA">
      <w:r>
        <w:separator/>
      </w:r>
    </w:p>
  </w:footnote>
  <w:footnote w:type="continuationSeparator" w:id="1">
    <w:p w:rsidR="00B13BE1" w:rsidRDefault="00B13BE1" w:rsidP="00C37DEA">
      <w:r>
        <w:continuationSeparator/>
      </w:r>
    </w:p>
  </w:footnote>
  <w:footnote w:type="continuationNotice" w:id="2">
    <w:p w:rsidR="00B13BE1" w:rsidRDefault="00B13BE1"/>
  </w:footnote>
  <w:footnote w:id="3">
    <w:p w:rsidR="00551DEA" w:rsidRDefault="00551DEA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утвержденные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551DEA" w:rsidRDefault="00551DEA" w:rsidP="00E64DCC">
      <w:pPr>
        <w:pStyle w:val="a5"/>
      </w:pPr>
    </w:p>
  </w:footnote>
  <w:footnote w:id="4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5">
    <w:p w:rsidR="00551DEA" w:rsidRDefault="00551DEA" w:rsidP="0005503D">
      <w:pPr>
        <w:pStyle w:val="a5"/>
        <w:ind w:firstLine="709"/>
        <w:jc w:val="both"/>
      </w:pPr>
      <w:r>
        <w:rPr>
          <w:rStyle w:val="a7"/>
        </w:rPr>
        <w:footnoteRef/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717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37DEA"/>
    <w:rsid w:val="000017B4"/>
    <w:rsid w:val="00002136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1D13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3BE1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1C81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01050-6638-42FC-B330-316F1D7C07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8B50F3-EFA6-4A12-B9EE-B1066F2A7B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C50FD5-7AD8-45B6-9E4D-693A7CE26E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7904F-61CE-462C-B49B-E0934DA83D6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B23AF29-E5D3-4024-835D-7BA1CC21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11739</Words>
  <Characters>66915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78498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Татьяна</cp:lastModifiedBy>
  <cp:revision>2</cp:revision>
  <cp:lastPrinted>2019-12-10T06:49:00Z</cp:lastPrinted>
  <dcterms:created xsi:type="dcterms:W3CDTF">2019-12-30T11:50:00Z</dcterms:created>
  <dcterms:modified xsi:type="dcterms:W3CDTF">2019-12-30T11:50:00Z</dcterms:modified>
</cp:coreProperties>
</file>